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56" w:rsidRDefault="00D32A66" w:rsidP="009A0233">
      <w:pPr>
        <w:jc w:val="center"/>
        <w:rPr>
          <w:sz w:val="32"/>
          <w:szCs w:val="32"/>
        </w:rPr>
      </w:pPr>
      <w:r>
        <w:rPr>
          <w:sz w:val="32"/>
          <w:szCs w:val="32"/>
        </w:rPr>
        <w:t>Vitamine B</w:t>
      </w:r>
      <w:r>
        <w:rPr>
          <w:sz w:val="32"/>
          <w:szCs w:val="32"/>
          <w:vertAlign w:val="subscript"/>
        </w:rPr>
        <w:t>2</w:t>
      </w:r>
      <w:r w:rsidR="009A0233">
        <w:rPr>
          <w:sz w:val="32"/>
          <w:szCs w:val="32"/>
        </w:rPr>
        <w:t xml:space="preserve"> </w:t>
      </w:r>
    </w:p>
    <w:p w:rsidR="009A0233" w:rsidRDefault="009A0233" w:rsidP="009A0233">
      <w:pPr>
        <w:jc w:val="center"/>
        <w:rPr>
          <w:sz w:val="20"/>
          <w:szCs w:val="20"/>
        </w:rPr>
      </w:pPr>
      <w:r>
        <w:rPr>
          <w:sz w:val="20"/>
          <w:szCs w:val="20"/>
        </w:rPr>
        <w:t>Door Kristie Bouchee</w:t>
      </w:r>
    </w:p>
    <w:p w:rsidR="009A0233" w:rsidRDefault="009A0233" w:rsidP="009A0233">
      <w:pPr>
        <w:jc w:val="center"/>
        <w:rPr>
          <w:sz w:val="20"/>
          <w:szCs w:val="20"/>
        </w:rPr>
      </w:pPr>
    </w:p>
    <w:p w:rsidR="009A0233" w:rsidRDefault="00F364FD" w:rsidP="009A0233">
      <w:r>
        <w:t>Wat is Vitamine B</w:t>
      </w:r>
      <w:r>
        <w:rPr>
          <w:vertAlign w:val="subscript"/>
        </w:rPr>
        <w:t>2</w:t>
      </w:r>
      <w:r w:rsidR="009A0233">
        <w:t>:</w:t>
      </w:r>
    </w:p>
    <w:p w:rsidR="00402355" w:rsidRPr="002102EA" w:rsidRDefault="00F364FD" w:rsidP="009A0233">
      <w:r>
        <w:t>Vitamine B</w:t>
      </w:r>
      <w:r>
        <w:rPr>
          <w:vertAlign w:val="subscript"/>
        </w:rPr>
        <w:t>2</w:t>
      </w:r>
      <w:r w:rsidR="009A0233">
        <w:t xml:space="preserve"> wordt ook wel riboflavine genoemd</w:t>
      </w:r>
      <w:r w:rsidR="00402355">
        <w:t xml:space="preserve">. Deze vitamine werd vroeger anders genoemd, maar nadat de structuur volledig duidelijk werd, veranderde hij in riboflavine. </w:t>
      </w:r>
      <w:r w:rsidR="00402355">
        <w:tab/>
      </w:r>
      <w:r w:rsidR="00402355">
        <w:tab/>
      </w:r>
      <w:r w:rsidR="00402355">
        <w:tab/>
        <w:t xml:space="preserve">         De reden achter deze naam is Ribose, de suiker die er in voorkomt en fla</w:t>
      </w:r>
      <w:r w:rsidR="002102EA">
        <w:t xml:space="preserve">vus, de kleur van het vitamine (geel). </w:t>
      </w:r>
      <w:r w:rsidR="004F3A42">
        <w:t>Vitamine B</w:t>
      </w:r>
      <w:r w:rsidR="004F3A42">
        <w:rPr>
          <w:vertAlign w:val="subscript"/>
        </w:rPr>
        <w:t xml:space="preserve">2 </w:t>
      </w:r>
      <w:r w:rsidR="004F3A42">
        <w:t>komt vooral voor in melkproducten, maar ook in vlees, vleeswaren, groente, fruit, brood en graanproducten.</w:t>
      </w:r>
      <w:r w:rsidR="00402355">
        <w:t xml:space="preserve"> </w:t>
      </w:r>
      <w:r w:rsidR="002102EA">
        <w:t>V</w:t>
      </w:r>
      <w:r w:rsidR="00402355">
        <w:t>itam</w:t>
      </w:r>
      <w:bookmarkStart w:id="0" w:name="_GoBack"/>
      <w:bookmarkEnd w:id="0"/>
      <w:r w:rsidR="00402355">
        <w:t>ine</w:t>
      </w:r>
      <w:r w:rsidR="002102EA">
        <w:t xml:space="preserve"> B</w:t>
      </w:r>
      <w:r w:rsidR="002102EA">
        <w:rPr>
          <w:vertAlign w:val="subscript"/>
        </w:rPr>
        <w:t xml:space="preserve">2 </w:t>
      </w:r>
      <w:r w:rsidR="00402355">
        <w:t xml:space="preserve"> kan goed tegen hitte en is slechts oplosbaar in water. Het zwakke punt van het vitamine is dat het niet tegen licht kan. </w:t>
      </w:r>
      <w:r w:rsidR="002102EA">
        <w:t>Daarom wordt melk waar veel vitamine B</w:t>
      </w:r>
      <w:r w:rsidR="002102EA">
        <w:rPr>
          <w:vertAlign w:val="subscript"/>
        </w:rPr>
        <w:t xml:space="preserve">2 </w:t>
      </w:r>
      <w:r w:rsidR="002102EA">
        <w:t>inzit verpakt in licht ondoorlaatbare melkpakken. Vroeger (toen er nog niet ondoorlaatbare melkpakken waren) liep het vitamine B</w:t>
      </w:r>
      <w:r w:rsidR="002102EA">
        <w:rPr>
          <w:vertAlign w:val="subscript"/>
        </w:rPr>
        <w:t xml:space="preserve">2 </w:t>
      </w:r>
      <w:r w:rsidR="002102EA">
        <w:t>gehalte tijdens de houdbaarheidstermijn terug met 40 tot 60 procent.</w:t>
      </w:r>
    </w:p>
    <w:p w:rsidR="00BE5345" w:rsidRDefault="00BE5345" w:rsidP="009A0233"/>
    <w:p w:rsidR="00BE5345" w:rsidRDefault="00F364FD" w:rsidP="009A0233">
      <w:r>
        <w:t>Vitamine B</w:t>
      </w:r>
      <w:r>
        <w:rPr>
          <w:vertAlign w:val="subscript"/>
        </w:rPr>
        <w:t>2</w:t>
      </w:r>
      <w:r w:rsidR="00BE5345">
        <w:t xml:space="preserve"> in ons lichaam:</w:t>
      </w:r>
    </w:p>
    <w:p w:rsidR="00BE5345" w:rsidRDefault="00F364FD" w:rsidP="009A0233">
      <w:r>
        <w:t>Vitamine B</w:t>
      </w:r>
      <w:r>
        <w:rPr>
          <w:vertAlign w:val="subscript"/>
        </w:rPr>
        <w:t>2</w:t>
      </w:r>
      <w:r w:rsidR="00BE5345">
        <w:t xml:space="preserve"> wordt in de dunne darm opgenomen en via de bloedbaan naar de lichaamscellen gebracht. Daar functioneert het als co-enzym. </w:t>
      </w:r>
      <w:r>
        <w:t>Vitamine B</w:t>
      </w:r>
      <w:r>
        <w:rPr>
          <w:vertAlign w:val="subscript"/>
        </w:rPr>
        <w:t>2</w:t>
      </w:r>
      <w:r w:rsidR="004F3A42">
        <w:t xml:space="preserve"> wordt voor een deel opgeslagen in het lichaam. Het lichaam kan (als het aan eiwit wordt verbonden) maar v</w:t>
      </w:r>
      <w:r w:rsidR="002102EA">
        <w:t xml:space="preserve">oor een bepaalde tijd vastgehouden worden. </w:t>
      </w:r>
      <w:r w:rsidR="004F3A42">
        <w:t>Het is dus belangrijk dat je er dagelijks genoeg van binnenkrijgt. Gelukkig komt gebrek in ontwikkelingslanden van B</w:t>
      </w:r>
      <w:r w:rsidR="004F3A42">
        <w:rPr>
          <w:vertAlign w:val="subscript"/>
        </w:rPr>
        <w:t xml:space="preserve">2 </w:t>
      </w:r>
      <w:r w:rsidR="004F3A42">
        <w:t xml:space="preserve">nauwelijks voor. </w:t>
      </w:r>
    </w:p>
    <w:p w:rsidR="004F3A42" w:rsidRDefault="004F3A42" w:rsidP="009A0233">
      <w:pPr>
        <w:contextualSpacing/>
      </w:pPr>
      <w:r>
        <w:t>Kenmerken aan te weinig aan vitamine B</w:t>
      </w:r>
      <w:r>
        <w:rPr>
          <w:vertAlign w:val="subscript"/>
        </w:rPr>
        <w:t xml:space="preserve">2 </w:t>
      </w:r>
      <w:r>
        <w:t xml:space="preserve"> zijn:</w:t>
      </w:r>
    </w:p>
    <w:p w:rsidR="004F3A42" w:rsidRDefault="004F3A42" w:rsidP="004F3A42">
      <w:pPr>
        <w:pStyle w:val="Lijstalinea"/>
        <w:numPr>
          <w:ilvl w:val="0"/>
          <w:numId w:val="1"/>
        </w:numPr>
      </w:pPr>
      <w:r>
        <w:t>Ontstekingen bij de mondhoeken</w:t>
      </w:r>
    </w:p>
    <w:p w:rsidR="004F3A42" w:rsidRDefault="004F3A42" w:rsidP="004F3A42">
      <w:pPr>
        <w:pStyle w:val="Lijstalinea"/>
        <w:numPr>
          <w:ilvl w:val="0"/>
          <w:numId w:val="1"/>
        </w:numPr>
      </w:pPr>
      <w:r>
        <w:t>Ontstoken tong</w:t>
      </w:r>
    </w:p>
    <w:p w:rsidR="004F3A42" w:rsidRDefault="004F3A42" w:rsidP="004F3A42">
      <w:pPr>
        <w:pStyle w:val="Lijstalinea"/>
        <w:numPr>
          <w:ilvl w:val="0"/>
          <w:numId w:val="1"/>
        </w:numPr>
      </w:pPr>
      <w:r>
        <w:t>Rode schilferende huid bij ogen, neus en oren</w:t>
      </w:r>
    </w:p>
    <w:p w:rsidR="008A7D4D" w:rsidRPr="008A7D4D" w:rsidRDefault="008A7D4D" w:rsidP="008A7D4D">
      <w:pPr>
        <w:rPr>
          <w:u w:val="single"/>
        </w:rPr>
      </w:pPr>
      <w:r>
        <w:t xml:space="preserve">Aanbevolen dagelijkse hoeveelheid voor </w:t>
      </w:r>
      <w:r w:rsidR="00F364FD">
        <w:t>vitamine B</w:t>
      </w:r>
      <w:r w:rsidR="00F364FD">
        <w:rPr>
          <w:vertAlign w:val="subscript"/>
        </w:rPr>
        <w:t>2</w:t>
      </w:r>
      <w: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Bevolkingsgroep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 xml:space="preserve">ADH in mg </w:t>
            </w:r>
          </w:p>
        </w:tc>
      </w:tr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Zuigelingen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>0,4</w:t>
            </w:r>
          </w:p>
        </w:tc>
      </w:tr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Kinderen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>0,7 – 1,0</w:t>
            </w:r>
          </w:p>
        </w:tc>
      </w:tr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Volwassen mannen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>1,5</w:t>
            </w:r>
          </w:p>
        </w:tc>
      </w:tr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Volwassen vrouwen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>1,1</w:t>
            </w:r>
          </w:p>
        </w:tc>
      </w:tr>
      <w:tr w:rsidR="008A7D4D" w:rsidTr="008A7D4D">
        <w:tc>
          <w:tcPr>
            <w:tcW w:w="4531" w:type="dxa"/>
          </w:tcPr>
          <w:p w:rsidR="008A7D4D" w:rsidRPr="008A7D4D" w:rsidRDefault="008A7D4D" w:rsidP="008A7D4D">
            <w:r>
              <w:t>Zwangere vrouwen</w:t>
            </w:r>
          </w:p>
        </w:tc>
        <w:tc>
          <w:tcPr>
            <w:tcW w:w="4531" w:type="dxa"/>
          </w:tcPr>
          <w:p w:rsidR="008A7D4D" w:rsidRPr="008A7D4D" w:rsidRDefault="008A7D4D" w:rsidP="008A7D4D">
            <w:r>
              <w:t>1,4</w:t>
            </w:r>
          </w:p>
        </w:tc>
      </w:tr>
    </w:tbl>
    <w:p w:rsidR="008A7D4D" w:rsidRPr="008A7D4D" w:rsidRDefault="008A7D4D" w:rsidP="008A7D4D">
      <w:pPr>
        <w:rPr>
          <w:u w:val="single"/>
        </w:rPr>
      </w:pPr>
    </w:p>
    <w:p w:rsidR="002102EA" w:rsidRDefault="002102EA" w:rsidP="002102EA">
      <w:r>
        <w:t>Te veel aan vitamine B</w:t>
      </w:r>
      <w:r>
        <w:rPr>
          <w:vertAlign w:val="subscript"/>
        </w:rPr>
        <w:t xml:space="preserve">2 </w:t>
      </w:r>
      <w:r>
        <w:t>kan eigenlijk niet voorkomen omdat het overtollige aan vitamines verdwijnt via urine, ontlasting en zweet.</w:t>
      </w:r>
    </w:p>
    <w:p w:rsidR="002102EA" w:rsidRDefault="002102EA" w:rsidP="002102EA"/>
    <w:p w:rsidR="008A7D4D" w:rsidRDefault="008A7D4D" w:rsidP="004F3A42"/>
    <w:p w:rsidR="008A7D4D" w:rsidRDefault="008A7D4D" w:rsidP="004F3A42"/>
    <w:p w:rsidR="00680E6A" w:rsidRDefault="002102EA" w:rsidP="004F3A42">
      <w:r>
        <w:lastRenderedPageBreak/>
        <w:t>B</w:t>
      </w:r>
      <w:r>
        <w:rPr>
          <w:vertAlign w:val="subscript"/>
        </w:rPr>
        <w:t xml:space="preserve">2 </w:t>
      </w:r>
      <w:r>
        <w:t>en onze voeding:</w:t>
      </w:r>
      <w:r w:rsidR="00680E6A">
        <w:tab/>
      </w:r>
      <w:r w:rsidR="00680E6A">
        <w:tab/>
      </w:r>
      <w:r w:rsidR="00680E6A">
        <w:tab/>
      </w:r>
      <w:r w:rsidR="00680E6A">
        <w:tab/>
      </w:r>
      <w:r w:rsidR="00680E6A">
        <w:tab/>
      </w:r>
      <w:r w:rsidR="00680E6A">
        <w:tab/>
      </w:r>
      <w:r w:rsidR="00680E6A">
        <w:tab/>
      </w:r>
      <w:r w:rsidR="00680E6A">
        <w:tab/>
      </w:r>
      <w:r w:rsidR="00680E6A">
        <w:tab/>
        <w:t xml:space="preserve">                      de behoefte aan vitamine B</w:t>
      </w:r>
      <w:r w:rsidR="00680E6A">
        <w:rPr>
          <w:vertAlign w:val="subscript"/>
        </w:rPr>
        <w:t xml:space="preserve">2 </w:t>
      </w:r>
      <w:r w:rsidR="00680E6A">
        <w:t>ligt aan de hoeveelheid eiwit die we opnemen. Hoe meer eiwitten we binnenkrijgen, hoe meer vitamine B</w:t>
      </w:r>
      <w:r w:rsidR="00680E6A">
        <w:rPr>
          <w:vertAlign w:val="subscript"/>
        </w:rPr>
        <w:t xml:space="preserve">2 </w:t>
      </w:r>
      <w:r w:rsidR="00680E6A">
        <w:t>we nodig h</w:t>
      </w:r>
      <w:r w:rsidR="008A7D4D">
        <w:t xml:space="preserve">ebben. </w:t>
      </w:r>
    </w:p>
    <w:p w:rsidR="008A7D4D" w:rsidRDefault="008A7D4D" w:rsidP="004F3A42">
      <w:r>
        <w:t xml:space="preserve">Behalve in melkproducten is </w:t>
      </w:r>
      <w:r w:rsidR="00F364FD">
        <w:t>orgaanvlees rijk aan vitamine B</w:t>
      </w:r>
      <w:r w:rsidR="00F364FD">
        <w:rPr>
          <w:vertAlign w:val="subscript"/>
        </w:rPr>
        <w:t>2</w:t>
      </w:r>
      <w:r w:rsidR="00F364FD">
        <w:t>. Plantaardige pro</w:t>
      </w:r>
      <w:r>
        <w:t>ducten met een</w:t>
      </w:r>
      <w:r w:rsidR="00F364FD">
        <w:t xml:space="preserve"> hoog vitamine B</w:t>
      </w:r>
      <w:r w:rsidR="00F364FD">
        <w:rPr>
          <w:vertAlign w:val="subscript"/>
        </w:rPr>
        <w:t>2</w:t>
      </w:r>
      <w:r>
        <w:t xml:space="preserve"> gehalte zijn:</w:t>
      </w:r>
    </w:p>
    <w:p w:rsidR="008A7D4D" w:rsidRDefault="008A7D4D" w:rsidP="008A7D4D">
      <w:pPr>
        <w:pStyle w:val="Lijstalinea"/>
        <w:numPr>
          <w:ilvl w:val="0"/>
          <w:numId w:val="1"/>
        </w:numPr>
      </w:pPr>
      <w:r>
        <w:t>Amandelen</w:t>
      </w:r>
    </w:p>
    <w:p w:rsidR="008A7D4D" w:rsidRDefault="008A7D4D" w:rsidP="008A7D4D">
      <w:pPr>
        <w:pStyle w:val="Lijstalinea"/>
        <w:numPr>
          <w:ilvl w:val="0"/>
          <w:numId w:val="1"/>
        </w:numPr>
      </w:pPr>
      <w:r>
        <w:t>Paddenstoelen</w:t>
      </w:r>
    </w:p>
    <w:p w:rsidR="008A7D4D" w:rsidRDefault="008A7D4D" w:rsidP="008A7D4D">
      <w:pPr>
        <w:pStyle w:val="Lijstalinea"/>
        <w:numPr>
          <w:ilvl w:val="0"/>
          <w:numId w:val="1"/>
        </w:numPr>
      </w:pPr>
      <w:r>
        <w:t>Volkoren graanproducten</w:t>
      </w:r>
    </w:p>
    <w:p w:rsidR="008A7D4D" w:rsidRDefault="008A7D4D" w:rsidP="008A7D4D">
      <w:pPr>
        <w:pStyle w:val="Lijstalinea"/>
        <w:numPr>
          <w:ilvl w:val="0"/>
          <w:numId w:val="1"/>
        </w:numPr>
      </w:pPr>
      <w:r>
        <w:t xml:space="preserve">Sojabonen </w:t>
      </w:r>
    </w:p>
    <w:p w:rsidR="008A7D4D" w:rsidRDefault="008A7D4D" w:rsidP="008A7D4D">
      <w:pPr>
        <w:pStyle w:val="Lijstalinea"/>
        <w:numPr>
          <w:ilvl w:val="0"/>
          <w:numId w:val="1"/>
        </w:numPr>
      </w:pPr>
      <w:r>
        <w:t>Groene bladgroenten</w:t>
      </w:r>
    </w:p>
    <w:p w:rsidR="008A7D4D" w:rsidRDefault="008A7D4D" w:rsidP="008A7D4D">
      <w:r>
        <w:t>Het is niet z</w:t>
      </w:r>
      <w:r w:rsidR="00F364FD">
        <w:t>o moeilijk om genoeg vitamine B</w:t>
      </w:r>
      <w:r w:rsidR="00F364FD">
        <w:rPr>
          <w:vertAlign w:val="subscript"/>
        </w:rPr>
        <w:t>2</w:t>
      </w:r>
      <w:r>
        <w:t xml:space="preserve"> binnen te krijgen. Bij een normaal voedingspatroon en een gemiddeld gebruik van bruin brood en melk zit je al over de helft van de dagelijkse behoefte. Maar</w:t>
      </w:r>
      <w:r w:rsidR="00F364FD">
        <w:t xml:space="preserve"> bijvoorbeeld</w:t>
      </w:r>
      <w:r>
        <w:t xml:space="preserve"> tweeënhalf glas melk (500 ml) levert ook 50 procent van de aanbevolen dagelijkse hoeveelheid. Zoals ik al ee</w:t>
      </w:r>
      <w:r w:rsidR="00F364FD">
        <w:t>rder vermeld heb kan vitamine B</w:t>
      </w:r>
      <w:r w:rsidR="00F364FD">
        <w:rPr>
          <w:vertAlign w:val="subscript"/>
        </w:rPr>
        <w:t>2</w:t>
      </w:r>
      <w:r>
        <w:t xml:space="preserve"> goed tegen hitte en is het minder goed oplosbaar in water. Bij de bereiding kan dan ook maar slechts 15%</w:t>
      </w:r>
      <w:r w:rsidR="00F364FD">
        <w:t xml:space="preserve"> verliezen van de hoeveelheid B</w:t>
      </w:r>
      <w:r w:rsidR="00F364FD">
        <w:rPr>
          <w:vertAlign w:val="subscript"/>
        </w:rPr>
        <w:t>2</w:t>
      </w:r>
      <w:r>
        <w:t>. Maar het stoven van groenten is altijd beter dan koken in teveel water.</w:t>
      </w:r>
    </w:p>
    <w:p w:rsidR="008A7D4D" w:rsidRDefault="008A7D4D" w:rsidP="008A7D4D"/>
    <w:p w:rsidR="008A7D4D" w:rsidRDefault="008A7D4D" w:rsidP="008A7D4D">
      <w:r>
        <w:t xml:space="preserve">Hier kun </w:t>
      </w:r>
      <w:r w:rsidR="00F364FD">
        <w:t>je het voorkomen van vitamine B</w:t>
      </w:r>
      <w:r w:rsidR="00F364FD">
        <w:rPr>
          <w:vertAlign w:val="subscript"/>
        </w:rPr>
        <w:t>2</w:t>
      </w:r>
      <w:r>
        <w:t xml:space="preserve"> in enkele voedingsmiddelen nog zien</w:t>
      </w:r>
    </w:p>
    <w:tbl>
      <w:tblPr>
        <w:tblStyle w:val="Lichtelijst-accent3"/>
        <w:tblW w:w="0" w:type="auto"/>
        <w:tblLook w:val="0620" w:firstRow="1" w:lastRow="0" w:firstColumn="0" w:lastColumn="0" w:noHBand="1" w:noVBand="1"/>
      </w:tblPr>
      <w:tblGrid>
        <w:gridCol w:w="2203"/>
        <w:gridCol w:w="3148"/>
      </w:tblGrid>
      <w:tr w:rsidR="008A7D4D" w:rsidTr="00B16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8A7D4D" w:rsidRDefault="008A7D4D">
            <w:r>
              <w:t>voedingsmiddelen</w:t>
            </w:r>
          </w:p>
        </w:tc>
        <w:tc>
          <w:tcPr>
            <w:tcW w:w="0" w:type="auto"/>
          </w:tcPr>
          <w:p w:rsidR="008A7D4D" w:rsidRDefault="008A7D4D">
            <w:r>
              <w:t>Vitamine B2 in mg per 100 gram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varkenslever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3,2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leverkaas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0,65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Kaas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0,3 – 0,4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Noten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0,2 – 0,6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Granen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0,1 – 0,2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Paddenstoelen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0,3 – 0,5</w:t>
            </w:r>
          </w:p>
        </w:tc>
      </w:tr>
      <w:tr w:rsidR="008A7D4D" w:rsidTr="00B16528">
        <w:tc>
          <w:tcPr>
            <w:tcW w:w="0" w:type="auto"/>
          </w:tcPr>
          <w:p w:rsidR="008A7D4D" w:rsidRDefault="008A7D4D">
            <w:r>
              <w:t>Sojabonen (gedroogd)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0,52</w:t>
            </w:r>
          </w:p>
        </w:tc>
      </w:tr>
      <w:tr w:rsidR="008A7D4D" w:rsidTr="008A7D4D">
        <w:trPr>
          <w:trHeight w:val="242"/>
        </w:trPr>
        <w:tc>
          <w:tcPr>
            <w:tcW w:w="0" w:type="auto"/>
          </w:tcPr>
          <w:p w:rsidR="008A7D4D" w:rsidRDefault="008A7D4D">
            <w:r>
              <w:t>Vis</w:t>
            </w:r>
          </w:p>
        </w:tc>
        <w:tc>
          <w:tcPr>
            <w:tcW w:w="0" w:type="auto"/>
          </w:tcPr>
          <w:p w:rsidR="008A7D4D" w:rsidRDefault="008A7D4D">
            <w:r>
              <w:t xml:space="preserve">        0,2 – 0,4                         </w:t>
            </w:r>
          </w:p>
          <w:p w:rsidR="008A7D4D" w:rsidRDefault="008A7D4D"/>
        </w:tc>
      </w:tr>
    </w:tbl>
    <w:p w:rsidR="008A7D4D" w:rsidRDefault="008A7D4D" w:rsidP="008A7D4D"/>
    <w:p w:rsidR="008A7D4D" w:rsidRDefault="008A7D4D" w:rsidP="008A7D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8A7D4D" w:rsidRDefault="008A7D4D">
                                <w:r>
                                  <w:t>[Trek de aandacht van uw lezer met een veelzeggend citaat uit het document of gebruik deze ruimte om een belangrijk punt te benadrukken. Sleep dit tekstvak als u het ergens anders op de pagina wilt plaatsen.]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NzCIOMnAgAARwQAAA4AAAAAAAAAAAAAAAAALgIAAGRycy9lMm9Eb2Mu&#10;eG1sUEsBAi0AFAAGAAgAAAAhAEhbJ3LbAAAABwEAAA8AAAAAAAAAAAAAAAAAgQQAAGRycy9kb3du&#10;cmV2LnhtbFBLBQYAAAAABAAEAPMAAACJ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8A7D4D" w:rsidRDefault="008A7D4D">
                          <w:r>
                            <w:t>[Trek de aandacht van uw lezer met een veelzeggend citaat uit het document of gebruik deze ruimte om een belangrijk punt te benadrukken. Sleep dit tekstvak als u het ergens anders op de pagina wilt plaatsen.]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:rsidR="008A7D4D" w:rsidRPr="00680E6A" w:rsidRDefault="008A7D4D" w:rsidP="004F3A42"/>
    <w:p w:rsidR="00BE5345" w:rsidRPr="009A0233" w:rsidRDefault="00BE5345" w:rsidP="009A0233"/>
    <w:sectPr w:rsidR="00BE5345" w:rsidRPr="009A0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698"/>
    <w:multiLevelType w:val="hybridMultilevel"/>
    <w:tmpl w:val="FFD2CC06"/>
    <w:lvl w:ilvl="0" w:tplc="F4B69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33"/>
    <w:rsid w:val="002102EA"/>
    <w:rsid w:val="00402355"/>
    <w:rsid w:val="004F3A42"/>
    <w:rsid w:val="00503E92"/>
    <w:rsid w:val="00530895"/>
    <w:rsid w:val="00680E6A"/>
    <w:rsid w:val="008329C8"/>
    <w:rsid w:val="008A3058"/>
    <w:rsid w:val="008A7D4D"/>
    <w:rsid w:val="008B5206"/>
    <w:rsid w:val="009A0233"/>
    <w:rsid w:val="00BE5345"/>
    <w:rsid w:val="00D32A66"/>
    <w:rsid w:val="00F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E80E5-8CF8-499F-8B95-ADBC107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3A42"/>
    <w:pPr>
      <w:ind w:left="720"/>
      <w:contextualSpacing/>
    </w:pPr>
  </w:style>
  <w:style w:type="table" w:styleId="Tabelraster">
    <w:name w:val="Table Grid"/>
    <w:basedOn w:val="Standaardtabel"/>
    <w:uiPriority w:val="39"/>
    <w:rsid w:val="008A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3">
    <w:name w:val="Light List Accent 3"/>
    <w:basedOn w:val="Standaardtabel"/>
    <w:uiPriority w:val="61"/>
    <w:rsid w:val="008A7D4D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A2B3-947B-43A8-802D-4A58CD8C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bouchee</dc:creator>
  <cp:keywords/>
  <dc:description/>
  <cp:lastModifiedBy>kristie bouchee</cp:lastModifiedBy>
  <cp:revision>5</cp:revision>
  <dcterms:created xsi:type="dcterms:W3CDTF">2015-09-24T12:26:00Z</dcterms:created>
  <dcterms:modified xsi:type="dcterms:W3CDTF">2015-09-29T19:56:00Z</dcterms:modified>
</cp:coreProperties>
</file>